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689" w:type="dxa"/>
        <w:tblLayout w:type="fixed"/>
        <w:tblLook w:val="04A0"/>
      </w:tblPr>
      <w:tblGrid>
        <w:gridCol w:w="567"/>
        <w:gridCol w:w="1001"/>
        <w:gridCol w:w="993"/>
        <w:gridCol w:w="3359"/>
        <w:gridCol w:w="3827"/>
        <w:gridCol w:w="832"/>
        <w:gridCol w:w="19"/>
        <w:gridCol w:w="814"/>
        <w:gridCol w:w="36"/>
        <w:gridCol w:w="709"/>
        <w:gridCol w:w="88"/>
        <w:gridCol w:w="763"/>
        <w:gridCol w:w="69"/>
        <w:gridCol w:w="781"/>
        <w:gridCol w:w="52"/>
        <w:gridCol w:w="833"/>
        <w:gridCol w:w="567"/>
        <w:gridCol w:w="1379"/>
      </w:tblGrid>
      <w:tr w:rsidR="00DF066E" w:rsidRPr="00DF066E" w:rsidTr="00DF066E">
        <w:trPr>
          <w:trHeight w:val="540"/>
        </w:trPr>
        <w:tc>
          <w:tcPr>
            <w:tcW w:w="16689" w:type="dxa"/>
            <w:gridSpan w:val="18"/>
            <w:tcBorders>
              <w:top w:val="nil"/>
              <w:left w:val="nil"/>
              <w:bottom w:val="nil"/>
              <w:right w:val="nil"/>
            </w:tcBorders>
            <w:shd w:val="clear" w:color="auto" w:fill="auto"/>
            <w:noWrap/>
            <w:vAlign w:val="center"/>
            <w:hideMark/>
          </w:tcPr>
          <w:p w:rsidR="00DF066E" w:rsidRPr="00DF066E" w:rsidRDefault="00DF066E" w:rsidP="00DF066E">
            <w:pPr>
              <w:widowControl/>
              <w:jc w:val="left"/>
              <w:rPr>
                <w:rFonts w:ascii="楷体" w:eastAsia="楷体" w:hAnsi="楷体" w:cs="宋体"/>
                <w:color w:val="000000"/>
                <w:kern w:val="0"/>
                <w:sz w:val="28"/>
                <w:szCs w:val="28"/>
              </w:rPr>
            </w:pPr>
            <w:r w:rsidRPr="00DF066E">
              <w:rPr>
                <w:rFonts w:ascii="楷体" w:eastAsia="楷体" w:hAnsi="楷体" w:cs="宋体" w:hint="eastAsia"/>
                <w:color w:val="000000"/>
                <w:kern w:val="0"/>
                <w:sz w:val="28"/>
                <w:szCs w:val="28"/>
              </w:rPr>
              <w:t>附件2</w:t>
            </w:r>
          </w:p>
        </w:tc>
      </w:tr>
      <w:tr w:rsidR="00DF066E" w:rsidRPr="00DF066E" w:rsidTr="00DF066E">
        <w:trPr>
          <w:trHeight w:val="679"/>
        </w:trPr>
        <w:tc>
          <w:tcPr>
            <w:tcW w:w="16689" w:type="dxa"/>
            <w:gridSpan w:val="18"/>
            <w:tcBorders>
              <w:top w:val="nil"/>
              <w:left w:val="nil"/>
              <w:bottom w:val="nil"/>
              <w:right w:val="nil"/>
            </w:tcBorders>
            <w:shd w:val="clear" w:color="auto" w:fill="auto"/>
            <w:noWrap/>
            <w:vAlign w:val="center"/>
            <w:hideMark/>
          </w:tcPr>
          <w:p w:rsidR="00DF066E" w:rsidRPr="00DF066E" w:rsidRDefault="00DF066E" w:rsidP="008C6284">
            <w:pPr>
              <w:widowControl/>
              <w:jc w:val="center"/>
              <w:rPr>
                <w:rFonts w:ascii="方正小标宋简体" w:eastAsia="方正小标宋简体" w:hAnsi="宋体" w:cs="宋体"/>
                <w:color w:val="000000"/>
                <w:kern w:val="0"/>
                <w:sz w:val="40"/>
                <w:szCs w:val="40"/>
              </w:rPr>
            </w:pPr>
            <w:r w:rsidRPr="00DF066E">
              <w:rPr>
                <w:rFonts w:ascii="方正小标宋简体" w:eastAsia="方正小标宋简体" w:hAnsi="宋体" w:cs="宋体" w:hint="eastAsia"/>
                <w:color w:val="000000"/>
                <w:kern w:val="0"/>
                <w:sz w:val="40"/>
                <w:szCs w:val="40"/>
              </w:rPr>
              <w:t xml:space="preserve"> 市级部门权责清单梳理</w:t>
            </w:r>
          </w:p>
        </w:tc>
      </w:tr>
      <w:tr w:rsidR="00DF066E" w:rsidRPr="00DF066E" w:rsidTr="00DF066E">
        <w:trPr>
          <w:trHeight w:val="462"/>
        </w:trPr>
        <w:tc>
          <w:tcPr>
            <w:tcW w:w="16689" w:type="dxa"/>
            <w:gridSpan w:val="18"/>
            <w:tcBorders>
              <w:top w:val="nil"/>
              <w:left w:val="nil"/>
              <w:bottom w:val="nil"/>
              <w:right w:val="nil"/>
            </w:tcBorders>
            <w:shd w:val="clear" w:color="auto" w:fill="auto"/>
            <w:noWrap/>
            <w:vAlign w:val="center"/>
            <w:hideMark/>
          </w:tcPr>
          <w:p w:rsidR="00DF066E" w:rsidRPr="00DF066E" w:rsidRDefault="00DF066E" w:rsidP="008D4212">
            <w:pPr>
              <w:widowControl/>
              <w:jc w:val="left"/>
              <w:rPr>
                <w:rFonts w:ascii="仿宋" w:eastAsia="仿宋" w:hAnsi="仿宋" w:cs="宋体"/>
                <w:color w:val="000000"/>
                <w:kern w:val="0"/>
                <w:sz w:val="28"/>
                <w:szCs w:val="28"/>
              </w:rPr>
            </w:pPr>
            <w:r w:rsidRPr="00DF066E">
              <w:rPr>
                <w:rFonts w:ascii="仿宋" w:eastAsia="仿宋" w:hAnsi="仿宋" w:cs="宋体" w:hint="eastAsia"/>
                <w:color w:val="000000"/>
                <w:kern w:val="0"/>
                <w:sz w:val="28"/>
                <w:szCs w:val="28"/>
              </w:rPr>
              <w:t xml:space="preserve">单位：宝鸡市体育局                                                  </w:t>
            </w:r>
            <w:r w:rsidR="00EC026F">
              <w:rPr>
                <w:rFonts w:ascii="仿宋" w:eastAsia="仿宋" w:hAnsi="仿宋" w:cs="宋体" w:hint="eastAsia"/>
                <w:color w:val="000000"/>
                <w:kern w:val="0"/>
                <w:sz w:val="28"/>
                <w:szCs w:val="28"/>
              </w:rPr>
              <w:t xml:space="preserve">      </w:t>
            </w:r>
            <w:r w:rsidRPr="00DF066E">
              <w:rPr>
                <w:rFonts w:ascii="仿宋" w:eastAsia="仿宋" w:hAnsi="仿宋" w:cs="宋体" w:hint="eastAsia"/>
                <w:color w:val="000000"/>
                <w:kern w:val="0"/>
                <w:sz w:val="28"/>
                <w:szCs w:val="28"/>
              </w:rPr>
              <w:t xml:space="preserve">     填写时间：2023年12月</w:t>
            </w:r>
            <w:r w:rsidR="008D4212">
              <w:rPr>
                <w:rFonts w:ascii="仿宋" w:eastAsia="仿宋" w:hAnsi="仿宋" w:cs="宋体" w:hint="eastAsia"/>
                <w:color w:val="000000"/>
                <w:kern w:val="0"/>
                <w:sz w:val="28"/>
                <w:szCs w:val="28"/>
              </w:rPr>
              <w:t>14</w:t>
            </w:r>
            <w:r w:rsidRPr="00DF066E">
              <w:rPr>
                <w:rFonts w:ascii="仿宋" w:eastAsia="仿宋" w:hAnsi="仿宋" w:cs="宋体" w:hint="eastAsia"/>
                <w:color w:val="000000"/>
                <w:kern w:val="0"/>
                <w:sz w:val="28"/>
                <w:szCs w:val="28"/>
              </w:rPr>
              <w:t>日</w:t>
            </w:r>
          </w:p>
        </w:tc>
      </w:tr>
      <w:tr w:rsidR="00DF066E" w:rsidRPr="00DF066E" w:rsidTr="00774AD9">
        <w:trPr>
          <w:gridAfter w:val="1"/>
          <w:wAfter w:w="1379" w:type="dxa"/>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66E" w:rsidRPr="00DF066E" w:rsidRDefault="00DF066E" w:rsidP="00DF066E">
            <w:pPr>
              <w:widowControl/>
              <w:jc w:val="center"/>
              <w:rPr>
                <w:rFonts w:ascii="楷体" w:eastAsia="楷体" w:hAnsi="楷体" w:cs="宋体"/>
                <w:color w:val="000000"/>
                <w:kern w:val="0"/>
                <w:sz w:val="28"/>
                <w:szCs w:val="28"/>
              </w:rPr>
            </w:pPr>
            <w:r w:rsidRPr="00DF066E">
              <w:rPr>
                <w:rFonts w:ascii="楷体" w:eastAsia="楷体" w:hAnsi="楷体" w:cs="宋体" w:hint="eastAsia"/>
                <w:color w:val="000000"/>
                <w:kern w:val="0"/>
                <w:sz w:val="28"/>
                <w:szCs w:val="28"/>
              </w:rPr>
              <w:t>序号</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center"/>
              <w:rPr>
                <w:rFonts w:ascii="楷体" w:eastAsia="楷体" w:hAnsi="楷体" w:cs="宋体"/>
                <w:color w:val="000000"/>
                <w:kern w:val="0"/>
                <w:sz w:val="28"/>
                <w:szCs w:val="28"/>
              </w:rPr>
            </w:pPr>
            <w:r w:rsidRPr="00DF066E">
              <w:rPr>
                <w:rFonts w:ascii="楷体" w:eastAsia="楷体" w:hAnsi="楷体" w:cs="宋体" w:hint="eastAsia"/>
                <w:color w:val="000000"/>
                <w:kern w:val="0"/>
                <w:sz w:val="28"/>
                <w:szCs w:val="28"/>
              </w:rPr>
              <w:t>职权类别</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center"/>
              <w:rPr>
                <w:rFonts w:ascii="楷体" w:eastAsia="楷体" w:hAnsi="楷体" w:cs="宋体"/>
                <w:color w:val="000000"/>
                <w:kern w:val="0"/>
                <w:sz w:val="28"/>
                <w:szCs w:val="28"/>
              </w:rPr>
            </w:pPr>
            <w:r w:rsidRPr="00DF066E">
              <w:rPr>
                <w:rFonts w:ascii="楷体" w:eastAsia="楷体" w:hAnsi="楷体" w:cs="宋体" w:hint="eastAsia"/>
                <w:color w:val="000000"/>
                <w:kern w:val="0"/>
                <w:sz w:val="28"/>
                <w:szCs w:val="28"/>
              </w:rPr>
              <w:t>职权名称</w:t>
            </w:r>
          </w:p>
        </w:tc>
        <w:tc>
          <w:tcPr>
            <w:tcW w:w="3359" w:type="dxa"/>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center"/>
              <w:rPr>
                <w:rFonts w:ascii="楷体" w:eastAsia="楷体" w:hAnsi="楷体" w:cs="宋体"/>
                <w:color w:val="000000"/>
                <w:kern w:val="0"/>
                <w:sz w:val="28"/>
                <w:szCs w:val="28"/>
              </w:rPr>
            </w:pPr>
            <w:r w:rsidRPr="00DF066E">
              <w:rPr>
                <w:rFonts w:ascii="楷体" w:eastAsia="楷体" w:hAnsi="楷体" w:cs="宋体" w:hint="eastAsia"/>
                <w:color w:val="000000"/>
                <w:kern w:val="0"/>
                <w:sz w:val="28"/>
                <w:szCs w:val="28"/>
              </w:rPr>
              <w:t>实施依据</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center"/>
              <w:rPr>
                <w:rFonts w:ascii="楷体" w:eastAsia="楷体" w:hAnsi="楷体" w:cs="宋体"/>
                <w:color w:val="000000"/>
                <w:kern w:val="0"/>
                <w:sz w:val="28"/>
                <w:szCs w:val="28"/>
              </w:rPr>
            </w:pPr>
            <w:r w:rsidRPr="00DF066E">
              <w:rPr>
                <w:rFonts w:ascii="楷体" w:eastAsia="楷体" w:hAnsi="楷体" w:cs="宋体" w:hint="eastAsia"/>
                <w:color w:val="000000"/>
                <w:kern w:val="0"/>
                <w:sz w:val="28"/>
                <w:szCs w:val="28"/>
              </w:rPr>
              <w:t>责任事项</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center"/>
              <w:rPr>
                <w:rFonts w:ascii="楷体" w:eastAsia="楷体" w:hAnsi="楷体" w:cs="宋体"/>
                <w:color w:val="000000"/>
                <w:kern w:val="0"/>
                <w:sz w:val="28"/>
                <w:szCs w:val="28"/>
              </w:rPr>
            </w:pPr>
            <w:r w:rsidRPr="00DF066E">
              <w:rPr>
                <w:rFonts w:ascii="楷体" w:eastAsia="楷体" w:hAnsi="楷体" w:cs="宋体" w:hint="eastAsia"/>
                <w:color w:val="000000"/>
                <w:kern w:val="0"/>
                <w:sz w:val="28"/>
                <w:szCs w:val="28"/>
              </w:rPr>
              <w:t>责任依据</w:t>
            </w:r>
          </w:p>
        </w:tc>
        <w:tc>
          <w:tcPr>
            <w:tcW w:w="833" w:type="dxa"/>
            <w:gridSpan w:val="2"/>
            <w:tcBorders>
              <w:top w:val="single" w:sz="4" w:space="0" w:color="auto"/>
              <w:left w:val="nil"/>
              <w:bottom w:val="single" w:sz="4" w:space="0" w:color="auto"/>
              <w:right w:val="single" w:sz="4" w:space="0" w:color="auto"/>
            </w:tcBorders>
            <w:shd w:val="clear" w:color="auto" w:fill="auto"/>
            <w:noWrap/>
            <w:vAlign w:val="center"/>
            <w:hideMark/>
          </w:tcPr>
          <w:p w:rsidR="00DF066E" w:rsidRPr="00DF066E" w:rsidRDefault="00DF066E" w:rsidP="00DF066E">
            <w:pPr>
              <w:widowControl/>
              <w:jc w:val="center"/>
              <w:rPr>
                <w:rFonts w:ascii="楷体" w:eastAsia="楷体" w:hAnsi="楷体" w:cs="宋体"/>
                <w:color w:val="000000"/>
                <w:kern w:val="0"/>
                <w:sz w:val="28"/>
                <w:szCs w:val="28"/>
              </w:rPr>
            </w:pPr>
            <w:r w:rsidRPr="00DF066E">
              <w:rPr>
                <w:rFonts w:ascii="楷体" w:eastAsia="楷体" w:hAnsi="楷体" w:cs="宋体" w:hint="eastAsia"/>
                <w:color w:val="000000"/>
                <w:kern w:val="0"/>
                <w:sz w:val="28"/>
                <w:szCs w:val="28"/>
              </w:rPr>
              <w:t>承办科室</w:t>
            </w:r>
          </w:p>
        </w:tc>
        <w:tc>
          <w:tcPr>
            <w:tcW w:w="833" w:type="dxa"/>
            <w:gridSpan w:val="3"/>
            <w:tcBorders>
              <w:top w:val="single" w:sz="4" w:space="0" w:color="auto"/>
              <w:left w:val="nil"/>
              <w:bottom w:val="single" w:sz="4" w:space="0" w:color="auto"/>
              <w:right w:val="single" w:sz="4" w:space="0" w:color="auto"/>
            </w:tcBorders>
            <w:shd w:val="clear" w:color="auto" w:fill="auto"/>
            <w:noWrap/>
            <w:vAlign w:val="center"/>
            <w:hideMark/>
          </w:tcPr>
          <w:p w:rsidR="00DF066E" w:rsidRPr="00DF066E" w:rsidRDefault="00DF066E" w:rsidP="00DF066E">
            <w:pPr>
              <w:widowControl/>
              <w:jc w:val="center"/>
              <w:rPr>
                <w:rFonts w:ascii="楷体" w:eastAsia="楷体" w:hAnsi="楷体" w:cs="宋体"/>
                <w:color w:val="000000"/>
                <w:kern w:val="0"/>
                <w:sz w:val="28"/>
                <w:szCs w:val="28"/>
              </w:rPr>
            </w:pPr>
            <w:r w:rsidRPr="00DF066E">
              <w:rPr>
                <w:rFonts w:ascii="楷体" w:eastAsia="楷体" w:hAnsi="楷体" w:cs="宋体" w:hint="eastAsia"/>
                <w:color w:val="000000"/>
                <w:kern w:val="0"/>
                <w:sz w:val="28"/>
                <w:szCs w:val="28"/>
              </w:rPr>
              <w:t>权力来源</w:t>
            </w:r>
          </w:p>
        </w:tc>
        <w:tc>
          <w:tcPr>
            <w:tcW w:w="832" w:type="dxa"/>
            <w:gridSpan w:val="2"/>
            <w:tcBorders>
              <w:top w:val="single" w:sz="4" w:space="0" w:color="auto"/>
              <w:left w:val="nil"/>
              <w:bottom w:val="single" w:sz="4" w:space="0" w:color="auto"/>
              <w:right w:val="single" w:sz="4" w:space="0" w:color="auto"/>
            </w:tcBorders>
            <w:shd w:val="clear" w:color="auto" w:fill="auto"/>
            <w:noWrap/>
            <w:vAlign w:val="center"/>
            <w:hideMark/>
          </w:tcPr>
          <w:p w:rsidR="00DF066E" w:rsidRPr="00DF066E" w:rsidRDefault="00DF066E" w:rsidP="00DF066E">
            <w:pPr>
              <w:widowControl/>
              <w:jc w:val="center"/>
              <w:rPr>
                <w:rFonts w:ascii="楷体" w:eastAsia="楷体" w:hAnsi="楷体" w:cs="宋体"/>
                <w:color w:val="000000"/>
                <w:kern w:val="0"/>
                <w:sz w:val="28"/>
                <w:szCs w:val="28"/>
              </w:rPr>
            </w:pPr>
            <w:r w:rsidRPr="00DF066E">
              <w:rPr>
                <w:rFonts w:ascii="楷体" w:eastAsia="楷体" w:hAnsi="楷体" w:cs="宋体" w:hint="eastAsia"/>
                <w:color w:val="000000"/>
                <w:kern w:val="0"/>
                <w:sz w:val="28"/>
                <w:szCs w:val="28"/>
              </w:rPr>
              <w:t>监督电话</w:t>
            </w:r>
          </w:p>
        </w:tc>
        <w:tc>
          <w:tcPr>
            <w:tcW w:w="833" w:type="dxa"/>
            <w:gridSpan w:val="2"/>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center"/>
              <w:rPr>
                <w:rFonts w:ascii="楷体" w:eastAsia="楷体" w:hAnsi="楷体" w:cs="宋体"/>
                <w:color w:val="000000"/>
                <w:kern w:val="0"/>
                <w:sz w:val="28"/>
                <w:szCs w:val="28"/>
              </w:rPr>
            </w:pPr>
            <w:r w:rsidRPr="00DF066E">
              <w:rPr>
                <w:rFonts w:ascii="楷体" w:eastAsia="楷体" w:hAnsi="楷体" w:cs="宋体" w:hint="eastAsia"/>
                <w:color w:val="000000"/>
                <w:kern w:val="0"/>
                <w:sz w:val="28"/>
                <w:szCs w:val="28"/>
              </w:rPr>
              <w:t>责任主体</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DF066E" w:rsidRPr="00DF066E" w:rsidRDefault="00DF066E" w:rsidP="00DF066E">
            <w:pPr>
              <w:widowControl/>
              <w:jc w:val="center"/>
              <w:rPr>
                <w:rFonts w:ascii="楷体" w:eastAsia="楷体" w:hAnsi="楷体" w:cs="宋体"/>
                <w:color w:val="000000"/>
                <w:kern w:val="0"/>
                <w:sz w:val="28"/>
                <w:szCs w:val="28"/>
              </w:rPr>
            </w:pPr>
            <w:r w:rsidRPr="00DF066E">
              <w:rPr>
                <w:rFonts w:ascii="楷体" w:eastAsia="楷体" w:hAnsi="楷体" w:cs="宋体" w:hint="eastAsia"/>
                <w:color w:val="000000"/>
                <w:kern w:val="0"/>
                <w:sz w:val="28"/>
                <w:szCs w:val="28"/>
              </w:rPr>
              <w:t>事项编码</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F066E" w:rsidRPr="00DF066E" w:rsidRDefault="00DF066E" w:rsidP="00DF066E">
            <w:pPr>
              <w:widowControl/>
              <w:jc w:val="center"/>
              <w:rPr>
                <w:rFonts w:ascii="楷体" w:eastAsia="楷体" w:hAnsi="楷体" w:cs="宋体"/>
                <w:color w:val="000000"/>
                <w:kern w:val="0"/>
                <w:sz w:val="28"/>
                <w:szCs w:val="28"/>
              </w:rPr>
            </w:pPr>
            <w:r w:rsidRPr="00DF066E">
              <w:rPr>
                <w:rFonts w:ascii="楷体" w:eastAsia="楷体" w:hAnsi="楷体" w:cs="宋体" w:hint="eastAsia"/>
                <w:color w:val="000000"/>
                <w:kern w:val="0"/>
                <w:sz w:val="28"/>
                <w:szCs w:val="28"/>
              </w:rPr>
              <w:t>备注</w:t>
            </w:r>
          </w:p>
        </w:tc>
      </w:tr>
      <w:tr w:rsidR="00DF066E" w:rsidRPr="00DF066E" w:rsidTr="00774AD9">
        <w:trPr>
          <w:gridAfter w:val="1"/>
          <w:wAfter w:w="1379" w:type="dxa"/>
          <w:trHeight w:val="7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66E" w:rsidRPr="00DF066E" w:rsidRDefault="00DF066E" w:rsidP="00DF066E">
            <w:pPr>
              <w:widowControl/>
              <w:jc w:val="center"/>
              <w:rPr>
                <w:rFonts w:ascii="仿宋_GB2312" w:eastAsia="仿宋_GB2312" w:hAnsi="宋体" w:cs="宋体"/>
                <w:color w:val="000000"/>
                <w:kern w:val="0"/>
                <w:szCs w:val="21"/>
              </w:rPr>
            </w:pPr>
            <w:r w:rsidRPr="00DF066E">
              <w:rPr>
                <w:rFonts w:ascii="仿宋_GB2312" w:eastAsia="仿宋_GB2312" w:hAnsi="宋体" w:cs="宋体" w:hint="eastAsia"/>
                <w:color w:val="000000"/>
                <w:kern w:val="0"/>
                <w:szCs w:val="21"/>
              </w:rPr>
              <w:t>2</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E8694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行政</w:t>
            </w:r>
          </w:p>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许可</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774AD9" w:rsidP="00DF066E">
            <w:pPr>
              <w:widowControl/>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举办高危险性体育赛事活动许可</w:t>
            </w:r>
          </w:p>
        </w:tc>
        <w:tc>
          <w:tcPr>
            <w:tcW w:w="3359" w:type="dxa"/>
            <w:tcBorders>
              <w:top w:val="single" w:sz="4" w:space="0" w:color="auto"/>
              <w:left w:val="nil"/>
              <w:bottom w:val="single" w:sz="4" w:space="0" w:color="auto"/>
              <w:right w:val="single" w:sz="4" w:space="0" w:color="auto"/>
            </w:tcBorders>
            <w:shd w:val="clear" w:color="auto" w:fill="auto"/>
            <w:vAlign w:val="center"/>
            <w:hideMark/>
          </w:tcPr>
          <w:p w:rsidR="00774AD9" w:rsidRDefault="00774AD9" w:rsidP="00774AD9">
            <w:pPr>
              <w:widowControl/>
              <w:jc w:val="left"/>
              <w:rPr>
                <w:rFonts w:ascii="仿宋_GB2312" w:eastAsia="仿宋_GB2312" w:hAnsi="仿宋" w:cs="宋体"/>
                <w:color w:val="000000"/>
                <w:kern w:val="0"/>
                <w:szCs w:val="21"/>
              </w:rPr>
            </w:pPr>
          </w:p>
          <w:p w:rsidR="00774AD9" w:rsidRDefault="00774AD9" w:rsidP="00774AD9">
            <w:pPr>
              <w:widowControl/>
              <w:jc w:val="left"/>
              <w:rPr>
                <w:rFonts w:ascii="仿宋_GB2312" w:eastAsia="仿宋_GB2312" w:hAnsi="仿宋" w:cs="宋体"/>
                <w:color w:val="000000"/>
                <w:kern w:val="0"/>
                <w:szCs w:val="21"/>
              </w:rPr>
            </w:pPr>
          </w:p>
          <w:p w:rsidR="00774AD9" w:rsidRDefault="00774AD9" w:rsidP="00774AD9">
            <w:pPr>
              <w:widowControl/>
              <w:jc w:val="left"/>
              <w:rPr>
                <w:rFonts w:ascii="仿宋_GB2312" w:eastAsia="仿宋_GB2312" w:hAnsi="仿宋" w:cs="宋体"/>
                <w:color w:val="000000"/>
                <w:kern w:val="0"/>
                <w:szCs w:val="21"/>
              </w:rPr>
            </w:pPr>
          </w:p>
          <w:p w:rsidR="00E8694E" w:rsidRDefault="00DF066E" w:rsidP="00774AD9">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（一）</w:t>
            </w:r>
            <w:r w:rsidR="00774AD9" w:rsidRPr="00774AD9">
              <w:rPr>
                <w:rFonts w:ascii="仿宋_GB2312" w:eastAsia="仿宋_GB2312" w:hAnsi="仿宋" w:cs="宋体" w:hint="eastAsia"/>
                <w:color w:val="000000"/>
                <w:kern w:val="0"/>
                <w:szCs w:val="21"/>
              </w:rPr>
              <w:t>《中华人民共和国体育法》（修订版）第一百零六条</w:t>
            </w:r>
            <w:r w:rsidR="00774AD9" w:rsidRPr="00774AD9">
              <w:rPr>
                <w:rFonts w:ascii="仿宋_GB2312" w:eastAsia="仿宋_GB2312" w:hAnsi="仿宋" w:cs="宋体"/>
                <w:color w:val="000000"/>
                <w:kern w:val="0"/>
                <w:szCs w:val="21"/>
              </w:rPr>
              <w:t xml:space="preserve"> 举办高危险性体育赛事活动，应当符合下列条件，并向县级以上地方人民政府体育行政部门提出申请：</w:t>
            </w:r>
            <w:r w:rsidR="00774AD9" w:rsidRPr="00774AD9">
              <w:rPr>
                <w:rFonts w:ascii="仿宋_GB2312" w:eastAsia="仿宋_GB2312" w:hAnsi="仿宋" w:cs="宋体" w:hint="eastAsia"/>
                <w:color w:val="000000"/>
                <w:kern w:val="0"/>
                <w:szCs w:val="21"/>
              </w:rPr>
              <w:t xml:space="preserve">　（一）配备具有相应资格或者资质的专业技术人员；（二）配置符合相关标准和要求的场地、器材和设施；　（三）制定通信、安全、交通、卫生健康、食品、应急救援等相关保障措施。县级以上地方人民政府体育行政部门应当自收到申请之日起三十日内进行实地核查，并作出批准或者不予批准的决定。</w:t>
            </w:r>
          </w:p>
          <w:p w:rsidR="00774AD9" w:rsidRDefault="00774AD9" w:rsidP="00774AD9">
            <w:pPr>
              <w:widowControl/>
              <w:jc w:val="left"/>
              <w:rPr>
                <w:rFonts w:ascii="仿宋_GB2312" w:eastAsia="仿宋_GB2312" w:hAnsi="仿宋" w:cs="宋体"/>
                <w:color w:val="000000"/>
                <w:kern w:val="0"/>
                <w:szCs w:val="21"/>
              </w:rPr>
            </w:pPr>
          </w:p>
          <w:p w:rsidR="00774AD9" w:rsidRDefault="00774AD9" w:rsidP="00774AD9">
            <w:pPr>
              <w:widowControl/>
              <w:jc w:val="left"/>
              <w:rPr>
                <w:rFonts w:ascii="仿宋_GB2312" w:eastAsia="仿宋_GB2312" w:hAnsi="仿宋" w:cs="宋体"/>
                <w:color w:val="000000"/>
                <w:kern w:val="0"/>
                <w:szCs w:val="21"/>
              </w:rPr>
            </w:pPr>
          </w:p>
          <w:p w:rsidR="00774AD9" w:rsidRPr="00DF066E" w:rsidRDefault="00774AD9" w:rsidP="00774AD9">
            <w:pPr>
              <w:widowControl/>
              <w:jc w:val="left"/>
              <w:rPr>
                <w:rFonts w:ascii="仿宋_GB2312" w:eastAsia="仿宋_GB2312" w:hAnsi="仿宋" w:cs="宋体"/>
                <w:color w:val="000000"/>
                <w:kern w:val="0"/>
                <w:szCs w:val="21"/>
              </w:rPr>
            </w:pP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EC026F">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1.受理阶段责任：公示依法应当提交的材料；一次性告知补正材料；依法受理或不予受理（不予受理的应当告知理由）；2.审查阶段责任：材料审核，需要听证的，公告并举行听证；提出初步意见；3.决定阶段责任：作出决定（不予行政许可的应当告知理由），按时办结，法定告知；4.送达阶段责任：制发送达文书；信息公开；5.事后监督责任：开展监督检查；6.其他法律法规规章文件规定应履行的责任。</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774AD9">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《中华人民共和国体育法》</w:t>
            </w:r>
          </w:p>
        </w:tc>
        <w:tc>
          <w:tcPr>
            <w:tcW w:w="833" w:type="dxa"/>
            <w:gridSpan w:val="2"/>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法规宣传科</w:t>
            </w:r>
          </w:p>
        </w:tc>
        <w:tc>
          <w:tcPr>
            <w:tcW w:w="833" w:type="dxa"/>
            <w:gridSpan w:val="3"/>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法定本级行使</w:t>
            </w:r>
          </w:p>
        </w:tc>
        <w:tc>
          <w:tcPr>
            <w:tcW w:w="832" w:type="dxa"/>
            <w:gridSpan w:val="2"/>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0917-3871816</w:t>
            </w:r>
          </w:p>
        </w:tc>
        <w:tc>
          <w:tcPr>
            <w:tcW w:w="833" w:type="dxa"/>
            <w:gridSpan w:val="2"/>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宝鸡市体育局</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8D4212">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610300013300</w:t>
            </w:r>
            <w:r w:rsidR="008D4212">
              <w:rPr>
                <w:rFonts w:ascii="仿宋_GB2312" w:eastAsia="仿宋_GB2312" w:hAnsi="仿宋" w:cs="宋体" w:hint="eastAsia"/>
                <w:color w:val="000000"/>
                <w:kern w:val="0"/>
                <w:szCs w:val="21"/>
              </w:rPr>
              <w:t>1</w:t>
            </w:r>
            <w:r w:rsidRPr="00DF066E">
              <w:rPr>
                <w:rFonts w:ascii="仿宋_GB2312" w:eastAsia="仿宋_GB2312" w:hAnsi="仿宋" w:cs="宋体" w:hint="eastAsia"/>
                <w:color w:val="000000"/>
                <w:kern w:val="0"/>
                <w:szCs w:val="21"/>
              </w:rPr>
              <w:t>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F066E" w:rsidRPr="00DF066E" w:rsidRDefault="00DF066E" w:rsidP="00DF066E">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 xml:space="preserve">　</w:t>
            </w:r>
          </w:p>
        </w:tc>
      </w:tr>
      <w:tr w:rsidR="00DF066E" w:rsidRPr="00DF066E" w:rsidTr="00774AD9">
        <w:trPr>
          <w:gridAfter w:val="1"/>
          <w:wAfter w:w="1379" w:type="dxa"/>
          <w:trHeight w:val="5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66E" w:rsidRPr="00DF066E" w:rsidRDefault="00774AD9" w:rsidP="00DF066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2</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E8694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行政</w:t>
            </w:r>
          </w:p>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处罚</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EC026F">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对体育彩票代销者违规行为的处罚</w:t>
            </w:r>
          </w:p>
        </w:tc>
        <w:tc>
          <w:tcPr>
            <w:tcW w:w="3359" w:type="dxa"/>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EC026F">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《彩票管理条例》（国务院令第554号）第四十一条  彩票代销者有下列行为之一的，由民政部门、体育行政部门责令改正，处2000元以上1万元以下罚款；有违法所得的，没收违法所得：（一）委托他人代销彩票或者转借、出租、出售彩票投注专用设备的；（二）进行虚假性、误导性宣传的；（三）以诋毁同业者等手段进行不正当竞争的；（四）向未成年人销售彩票的；（五）以赊销或者信用方式销售彩票的。彩票代销者有前款行为受到处罚的，彩票发行机构、彩票销售机构有权解除彩票代销合同。《彩票管理条例实施细则》（财政部、民政部、国家体育总局令2012年第67号）第六十三条  彩票代销者有下列行为之一的，由民政部门、体育行政部门责令改正；情节严重的，责成彩票发行机构、彩票销售机构解除彩票代销合同：(一)转借、出租、出售彩票代销证的；(二)未以人民币现金或者现金支票形式一次性兑奖的。</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774AD9" w:rsidRPr="00774AD9" w:rsidRDefault="00774AD9" w:rsidP="00774AD9">
            <w:pPr>
              <w:widowControl/>
              <w:jc w:val="left"/>
              <w:rPr>
                <w:rFonts w:ascii="仿宋_GB2312" w:eastAsia="仿宋_GB2312" w:hAnsi="仿宋" w:cs="宋体"/>
                <w:color w:val="000000"/>
                <w:spacing w:val="-12"/>
                <w:kern w:val="0"/>
                <w:szCs w:val="21"/>
              </w:rPr>
            </w:pPr>
            <w:r>
              <w:rPr>
                <w:rFonts w:ascii="仿宋_GB2312" w:eastAsia="仿宋_GB2312" w:hAnsi="仿宋" w:cs="宋体" w:hint="eastAsia"/>
                <w:color w:val="000000"/>
                <w:spacing w:val="-12"/>
                <w:kern w:val="0"/>
                <w:szCs w:val="21"/>
              </w:rPr>
              <w:t>1、</w:t>
            </w:r>
            <w:r w:rsidRPr="00774AD9">
              <w:rPr>
                <w:rFonts w:ascii="仿宋_GB2312" w:eastAsia="仿宋_GB2312" w:hAnsi="仿宋" w:cs="宋体" w:hint="eastAsia"/>
                <w:color w:val="000000"/>
                <w:spacing w:val="-12"/>
                <w:kern w:val="0"/>
                <w:szCs w:val="21"/>
              </w:rPr>
              <w:t>立案阶段责任：在工作中发现彩票代销者违规行为或者接到举报等，应予以审查，在10个工作日内决定是否立案。2.调查阶段责任：对立案的案件，指定专人负责，执法人员不得少于两人，与当事人有直接利害关系的应当回避。调查时出示执法检查证，收集证据，核实有关数据，制作检查报告。执法人员应保守有关秘密。3.审查阶段责任：对案件违法的行为、情节、证据、调查取证程序、法律适用、处罚种类和幅度、当事人陈述和申辩理由等方面进行审查，提出处理意见，主要证据不足时，以适当的方式补充调查。4.告知阶段责任：在做出行政处罚决定前，书面告知当事人做出处罚的事实、理由、依据及拟作出的行政处罚决定，并告知当事人依法享有的陈述、申辩等权利。5.决定阶段责任：制作体育行政处罚决定书和送达回执，载明违法事实和证据、处罚依据和内容、当事人陈述申辩或者听证情况、申请行政复议或提起行政诉讼的途径和期限等内容。体育行政处罚案件自立案之日起，在1个月内处理完毕。6.送达阶段责任：行政处罚决定书和送达回执应在3日内送达当事人。7.执行阶段责任：按照处罚决定，对当事人进行处罚,督促监督对象落实处理决定或检查意见，并于送达之日起30日内上报执行情况书面报告。8.事后监管责任：信息公开、监督结果运用。9.其他法律法规规章规定应承担的责任。</w:t>
            </w:r>
          </w:p>
          <w:p w:rsidR="00774AD9" w:rsidRPr="00774AD9" w:rsidRDefault="00774AD9" w:rsidP="00774AD9">
            <w:pPr>
              <w:widowControl/>
              <w:jc w:val="left"/>
              <w:rPr>
                <w:rFonts w:ascii="仿宋_GB2312" w:eastAsia="仿宋_GB2312" w:hAnsi="仿宋" w:cs="宋体"/>
                <w:color w:val="000000"/>
                <w:spacing w:val="-12"/>
                <w:kern w:val="0"/>
                <w:szCs w:val="21"/>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《彩票管理条例》</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法规宣传科</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法定本级行使</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0917-3871816</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宝鸡市体育局</w:t>
            </w:r>
          </w:p>
        </w:tc>
        <w:tc>
          <w:tcPr>
            <w:tcW w:w="885" w:type="dxa"/>
            <w:gridSpan w:val="2"/>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610300023300100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F066E" w:rsidRPr="00DF066E" w:rsidRDefault="00DF066E" w:rsidP="00DF066E">
            <w:pPr>
              <w:widowControl/>
              <w:jc w:val="left"/>
              <w:rPr>
                <w:rFonts w:ascii="仿宋_GB2312" w:eastAsia="仿宋_GB2312" w:hAnsi="宋体" w:cs="宋体"/>
                <w:color w:val="000000"/>
                <w:kern w:val="0"/>
                <w:szCs w:val="21"/>
              </w:rPr>
            </w:pPr>
            <w:r w:rsidRPr="00DF066E">
              <w:rPr>
                <w:rFonts w:ascii="仿宋_GB2312" w:eastAsia="仿宋_GB2312" w:hAnsi="宋体" w:cs="宋体" w:hint="eastAsia"/>
                <w:color w:val="000000"/>
                <w:kern w:val="0"/>
                <w:szCs w:val="21"/>
              </w:rPr>
              <w:t xml:space="preserve">　</w:t>
            </w:r>
          </w:p>
        </w:tc>
      </w:tr>
      <w:tr w:rsidR="00DF066E" w:rsidRPr="00DF066E" w:rsidTr="00774AD9">
        <w:trPr>
          <w:gridAfter w:val="1"/>
          <w:wAfter w:w="1379" w:type="dxa"/>
          <w:trHeight w:val="5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66E" w:rsidRPr="00DF066E" w:rsidRDefault="00774AD9" w:rsidP="00DF066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3</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E8694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行政</w:t>
            </w:r>
          </w:p>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处罚</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EC026F">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对开展与公共文化体育设施功能、用途不相适应的服务活动及违规出租公共文化体育设施的处罚</w:t>
            </w:r>
          </w:p>
        </w:tc>
        <w:tc>
          <w:tcPr>
            <w:tcW w:w="3359" w:type="dxa"/>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EC026F">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《公共文化体育设施条例》（国务院令第382号）第三十一条  公共文化体育设施管理单位，有下列行为之一的，由文化行政主管部门、体育行政主管部门依据各自职责责令限期改正，没收违法所得，违法所得5000元以上的，并处违法所得2倍以上5倍以下的罚款；没有违法所得或者违法所得5000元以下的，可以处1万元以下的罚款；对负有责任的主管人员和其他直接责任人员，依法给予行政处分：(一)开展与公共文化体育设施功能、用途不相适应的服务活动的；(二)违反本条例规定出租公共文化体育设施的。</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F066E" w:rsidRDefault="00DF066E" w:rsidP="00EC026F">
            <w:pPr>
              <w:widowControl/>
              <w:jc w:val="left"/>
              <w:rPr>
                <w:rFonts w:ascii="仿宋_GB2312" w:eastAsia="仿宋_GB2312" w:hAnsi="仿宋" w:cs="宋体"/>
                <w:color w:val="000000"/>
                <w:kern w:val="0"/>
                <w:sz w:val="18"/>
                <w:szCs w:val="18"/>
              </w:rPr>
            </w:pPr>
            <w:r w:rsidRPr="00E8694E">
              <w:rPr>
                <w:rFonts w:ascii="仿宋_GB2312" w:eastAsia="仿宋_GB2312" w:hAnsi="仿宋" w:cs="宋体" w:hint="eastAsia"/>
                <w:color w:val="000000"/>
                <w:kern w:val="0"/>
                <w:sz w:val="18"/>
                <w:szCs w:val="18"/>
              </w:rPr>
              <w:t>1.立案阶段责任：在工作中发现公共文化体育设施管理单位开展与体育设施功能、用途不相适应的服务活动及违规出租公共文化体育设施接到举报等，应予以审查，在10个工作日内决定是否立案。2.调查阶段责任：对立案的案件，指定专人负责，执法人员不得少于两人，与当事人有直接利害关系的应当回避。调查时出示执法检查证，收集证据，核实有关数据，制作检查报告。执法人员应保守有关秘密。3.审查阶段责任：对案件违法的行为、情节、证据、调查取证程序、法律适用、处罚种类和幅度、当事人陈述和申辩理由等方面进行审查，提出处理意见，主要证据不足时，以适当的方式补充调查。4.告知阶段责任：在做出行政处罚决定前，书面告知当事人作出处罚的事实、理由、依据及拟作出的行政处罚决定，并告知当事人依法享有的陈述、申辩等权利。5.决定阶段责任：制作体育行政处罚决定书和送达回执，载明违法事实和证据、处罚依据和内容、当事人陈述申辩或者听证情况、申请行政复议或提起行政诉讼的途径和期限等内容。体育行政处罚案件自立案之日起，在1个月内处理完毕。6.送达阶段责任：行政处罚决定书和送达回执应在3日内送达当事人。7.执行阶段责任：按照处罚决定，对当事人进行处罚,督促监督对象落实处理决定或检查意见，并于送达之日起30日内上报执行情况书面报告。8.事后监管责任：信息公开、监督结果运用。9.其他法律法规规章规定应承担的责任。</w:t>
            </w:r>
          </w:p>
          <w:p w:rsidR="00E8694E" w:rsidRPr="00E8694E" w:rsidRDefault="00E8694E" w:rsidP="00EC026F">
            <w:pPr>
              <w:widowControl/>
              <w:jc w:val="left"/>
              <w:rPr>
                <w:rFonts w:ascii="仿宋_GB2312" w:eastAsia="仿宋_GB2312" w:hAnsi="仿宋" w:cs="宋体"/>
                <w:color w:val="000000"/>
                <w:kern w:val="0"/>
                <w:sz w:val="18"/>
                <w:szCs w:val="18"/>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《公共文化体育设施条例》</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法规宣传科</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法定本级行使</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0917-3871816</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宝鸡市体育局</w:t>
            </w:r>
          </w:p>
        </w:tc>
        <w:tc>
          <w:tcPr>
            <w:tcW w:w="885" w:type="dxa"/>
            <w:gridSpan w:val="2"/>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610300023300200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F066E" w:rsidRPr="00DF066E" w:rsidRDefault="00DF066E" w:rsidP="00DF066E">
            <w:pPr>
              <w:widowControl/>
              <w:jc w:val="left"/>
              <w:rPr>
                <w:rFonts w:ascii="仿宋_GB2312" w:eastAsia="仿宋_GB2312" w:hAnsi="宋体" w:cs="宋体"/>
                <w:color w:val="000000"/>
                <w:kern w:val="0"/>
                <w:szCs w:val="21"/>
              </w:rPr>
            </w:pPr>
            <w:r w:rsidRPr="00DF066E">
              <w:rPr>
                <w:rFonts w:ascii="仿宋_GB2312" w:eastAsia="仿宋_GB2312" w:hAnsi="宋体" w:cs="宋体" w:hint="eastAsia"/>
                <w:color w:val="000000"/>
                <w:kern w:val="0"/>
                <w:szCs w:val="21"/>
              </w:rPr>
              <w:t xml:space="preserve">　</w:t>
            </w:r>
          </w:p>
        </w:tc>
      </w:tr>
      <w:tr w:rsidR="00DF066E" w:rsidRPr="00DF066E" w:rsidTr="00774AD9">
        <w:trPr>
          <w:gridAfter w:val="1"/>
          <w:wAfter w:w="1379" w:type="dxa"/>
          <w:trHeight w:val="424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66E" w:rsidRPr="00DF066E" w:rsidRDefault="00774AD9" w:rsidP="00DF066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4</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774AD9"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行政</w:t>
            </w:r>
          </w:p>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确认</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1571B5">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因城乡建设确需拆除公共文化体育设施或者改变其功能用途的认</w:t>
            </w:r>
            <w:r w:rsidR="001571B5">
              <w:rPr>
                <w:rFonts w:ascii="仿宋_GB2312" w:eastAsia="仿宋_GB2312" w:hAnsi="仿宋" w:cs="宋体" w:hint="eastAsia"/>
                <w:color w:val="000000"/>
                <w:kern w:val="0"/>
                <w:szCs w:val="21"/>
              </w:rPr>
              <w:t>定</w:t>
            </w:r>
          </w:p>
        </w:tc>
        <w:tc>
          <w:tcPr>
            <w:tcW w:w="3359" w:type="dxa"/>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6B6ACC" w:rsidP="00EC026F">
            <w:pPr>
              <w:widowControl/>
              <w:jc w:val="left"/>
              <w:rPr>
                <w:rFonts w:ascii="仿宋_GB2312" w:eastAsia="仿宋_GB2312" w:hAnsi="仿宋" w:cs="宋体"/>
                <w:color w:val="000000"/>
                <w:kern w:val="0"/>
                <w:szCs w:val="21"/>
              </w:rPr>
            </w:pPr>
            <w:hyperlink r:id="rId7" w:tooltip="http://baike.baidu.com/view/8323.htm" w:history="1">
              <w:r w:rsidR="00DF066E" w:rsidRPr="00DF066E">
                <w:rPr>
                  <w:rFonts w:ascii="仿宋_GB2312" w:eastAsia="仿宋_GB2312" w:hAnsi="仿宋" w:cs="宋体" w:hint="eastAsia"/>
                  <w:color w:val="000000"/>
                  <w:kern w:val="0"/>
                  <w:szCs w:val="21"/>
                </w:rPr>
                <w:t>《公共文化体育设施条例》（国务院令第382号）第二十七条  因城乡建设确需拆除公共文化体育设施或者改变其功能、用途的，有关地方人民政府在作出决定前，应当组织专家论证，并征得上一级人民政府文化行政主管部门、体育行政主管部门同意，报上一级人民政府批准。</w:t>
              </w:r>
            </w:hyperlink>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EC026F">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1.受理阶段责任：受理提交的材料，一次性告知补齐材料（不予受理应当告知理由）。2.审查阶段责任：对提交的材料进行审核，提出初审意见。3.决定阶段责任：做出决定（不予同意的应当告知理由）； 按时办结，法定告知。4.送达阶段责任：行政机关做出同意的决定，信息公开。5.</w:t>
            </w:r>
            <w:r w:rsidR="001571B5" w:rsidRPr="00DF066E">
              <w:rPr>
                <w:rFonts w:ascii="仿宋_GB2312" w:eastAsia="仿宋_GB2312" w:hAnsi="仿宋" w:cs="宋体" w:hint="eastAsia"/>
                <w:color w:val="000000"/>
                <w:kern w:val="0"/>
                <w:szCs w:val="21"/>
              </w:rPr>
              <w:t xml:space="preserve"> 事后监管责任：信息公开、监督结果运用。</w:t>
            </w:r>
            <w:r w:rsidR="00E8694E">
              <w:rPr>
                <w:rFonts w:ascii="仿宋_GB2312" w:eastAsia="仿宋_GB2312" w:hAnsi="仿宋" w:cs="宋体" w:hint="eastAsia"/>
                <w:color w:val="000000"/>
                <w:kern w:val="0"/>
                <w:szCs w:val="21"/>
              </w:rPr>
              <w:t>6</w:t>
            </w:r>
            <w:r w:rsidRPr="00DF066E">
              <w:rPr>
                <w:rFonts w:ascii="仿宋_GB2312" w:eastAsia="仿宋_GB2312" w:hAnsi="仿宋" w:cs="宋体" w:hint="eastAsia"/>
                <w:color w:val="000000"/>
                <w:kern w:val="0"/>
                <w:szCs w:val="21"/>
              </w:rPr>
              <w:t xml:space="preserve">.其他法律法规规章规定应承担的责任。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《公共文化体育设施条例》</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法规宣传科</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法定本级行使</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0917-3871816</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宝鸡市体育局</w:t>
            </w:r>
          </w:p>
        </w:tc>
        <w:tc>
          <w:tcPr>
            <w:tcW w:w="885" w:type="dxa"/>
            <w:gridSpan w:val="2"/>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610300073300100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F066E" w:rsidRPr="00DF066E" w:rsidRDefault="00DF066E" w:rsidP="00DF066E">
            <w:pPr>
              <w:widowControl/>
              <w:jc w:val="left"/>
              <w:rPr>
                <w:rFonts w:ascii="仿宋_GB2312" w:eastAsia="仿宋_GB2312" w:hAnsi="宋体" w:cs="宋体"/>
                <w:color w:val="000000"/>
                <w:kern w:val="0"/>
                <w:szCs w:val="21"/>
              </w:rPr>
            </w:pPr>
            <w:r w:rsidRPr="00DF066E">
              <w:rPr>
                <w:rFonts w:ascii="仿宋_GB2312" w:eastAsia="仿宋_GB2312" w:hAnsi="宋体" w:cs="宋体" w:hint="eastAsia"/>
                <w:color w:val="000000"/>
                <w:kern w:val="0"/>
                <w:szCs w:val="21"/>
              </w:rPr>
              <w:t xml:space="preserve">　</w:t>
            </w:r>
          </w:p>
        </w:tc>
      </w:tr>
      <w:tr w:rsidR="00DF066E" w:rsidRPr="00DF066E" w:rsidTr="00774AD9">
        <w:trPr>
          <w:gridAfter w:val="1"/>
          <w:wAfter w:w="1379" w:type="dxa"/>
          <w:trHeight w:val="5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F066E" w:rsidRPr="00DF066E" w:rsidRDefault="00774AD9" w:rsidP="00DF066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1001" w:type="dxa"/>
            <w:tcBorders>
              <w:top w:val="nil"/>
              <w:left w:val="nil"/>
              <w:bottom w:val="single" w:sz="4" w:space="0" w:color="auto"/>
              <w:right w:val="single" w:sz="4" w:space="0" w:color="auto"/>
            </w:tcBorders>
            <w:shd w:val="clear" w:color="auto" w:fill="auto"/>
            <w:vAlign w:val="center"/>
            <w:hideMark/>
          </w:tcPr>
          <w:p w:rsidR="00774AD9"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其他</w:t>
            </w:r>
          </w:p>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权力</w:t>
            </w:r>
          </w:p>
        </w:tc>
        <w:tc>
          <w:tcPr>
            <w:tcW w:w="993" w:type="dxa"/>
            <w:tcBorders>
              <w:top w:val="nil"/>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二级运动员技术等级审批</w:t>
            </w:r>
          </w:p>
        </w:tc>
        <w:tc>
          <w:tcPr>
            <w:tcW w:w="3359" w:type="dxa"/>
            <w:tcBorders>
              <w:top w:val="nil"/>
              <w:left w:val="nil"/>
              <w:bottom w:val="single" w:sz="4" w:space="0" w:color="auto"/>
              <w:right w:val="single" w:sz="4" w:space="0" w:color="auto"/>
            </w:tcBorders>
            <w:shd w:val="clear" w:color="auto" w:fill="auto"/>
            <w:vAlign w:val="center"/>
            <w:hideMark/>
          </w:tcPr>
          <w:p w:rsidR="00DF066E" w:rsidRPr="00DF066E" w:rsidRDefault="00DF066E" w:rsidP="00EC026F">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《运动员技术等级管理办法》（国家体育总局令2014年第18号）第九条  总局授予各省级体育行政部门、新疆生产建设兵团体育局、总参军训部军事体育训练局、总政宣传部文化体育局一级运动员、二级运动员、三级运动员审批权。第十条  各省级体育行政部门根据实际情况，可以将二级运动员、三级运动员审批权授予本行政区域内地市级体育行政部门，可以将三级运动员审批权授予本行政区域内县级体育行政部门。《陕西省运动员技术等级管理实施细则》（陕体发〔2014〕13号）第八条 省体育局授予各市级体育行政部门二级运动员和三级运动员审批权。</w:t>
            </w:r>
          </w:p>
        </w:tc>
        <w:tc>
          <w:tcPr>
            <w:tcW w:w="3827" w:type="dxa"/>
            <w:tcBorders>
              <w:top w:val="nil"/>
              <w:left w:val="nil"/>
              <w:bottom w:val="single" w:sz="4" w:space="0" w:color="auto"/>
              <w:right w:val="single" w:sz="4" w:space="0" w:color="auto"/>
            </w:tcBorders>
            <w:shd w:val="clear" w:color="auto" w:fill="auto"/>
            <w:vAlign w:val="center"/>
            <w:hideMark/>
          </w:tcPr>
          <w:p w:rsidR="00DF066E" w:rsidRPr="00DF066E" w:rsidRDefault="00DF066E" w:rsidP="00EC026F">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1.受理阶段责任：受理提交的材料，一次性告知其应当补齐材料（不予受理应当告知理由）。2.审查阶段责任：按照二级运动员等级申报要求，对书面申请材料进行审查。3.决定阶段责任：做出批准授予或不批准授予的决定，告知申请人。4.告知阶段责任：颁发二级运动员技术等级证书，信息公开。5.其他法律法规规章文件规定应履行的责任。</w:t>
            </w:r>
          </w:p>
        </w:tc>
        <w:tc>
          <w:tcPr>
            <w:tcW w:w="851" w:type="dxa"/>
            <w:gridSpan w:val="2"/>
            <w:tcBorders>
              <w:top w:val="nil"/>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《运动员技术等级管理办法》</w:t>
            </w:r>
          </w:p>
        </w:tc>
        <w:tc>
          <w:tcPr>
            <w:tcW w:w="850" w:type="dxa"/>
            <w:gridSpan w:val="2"/>
            <w:tcBorders>
              <w:top w:val="nil"/>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竞技体育科</w:t>
            </w:r>
          </w:p>
        </w:tc>
        <w:tc>
          <w:tcPr>
            <w:tcW w:w="709" w:type="dxa"/>
            <w:tcBorders>
              <w:top w:val="nil"/>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法定本级行使</w:t>
            </w:r>
          </w:p>
        </w:tc>
        <w:tc>
          <w:tcPr>
            <w:tcW w:w="851" w:type="dxa"/>
            <w:gridSpan w:val="2"/>
            <w:tcBorders>
              <w:top w:val="nil"/>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0917-3871816</w:t>
            </w:r>
          </w:p>
        </w:tc>
        <w:tc>
          <w:tcPr>
            <w:tcW w:w="850" w:type="dxa"/>
            <w:gridSpan w:val="2"/>
            <w:tcBorders>
              <w:top w:val="nil"/>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宝鸡市体育局</w:t>
            </w:r>
          </w:p>
        </w:tc>
        <w:tc>
          <w:tcPr>
            <w:tcW w:w="885" w:type="dxa"/>
            <w:gridSpan w:val="2"/>
            <w:tcBorders>
              <w:top w:val="nil"/>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610300103300100</w:t>
            </w:r>
          </w:p>
        </w:tc>
        <w:tc>
          <w:tcPr>
            <w:tcW w:w="567" w:type="dxa"/>
            <w:tcBorders>
              <w:top w:val="nil"/>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left"/>
              <w:rPr>
                <w:rFonts w:ascii="仿宋_GB2312" w:eastAsia="仿宋_GB2312" w:hAnsi="宋体" w:cs="宋体"/>
                <w:color w:val="000000"/>
                <w:kern w:val="0"/>
                <w:szCs w:val="21"/>
              </w:rPr>
            </w:pPr>
            <w:r w:rsidRPr="00DF066E">
              <w:rPr>
                <w:rFonts w:ascii="仿宋_GB2312" w:eastAsia="仿宋_GB2312" w:hAnsi="宋体" w:cs="宋体" w:hint="eastAsia"/>
                <w:color w:val="000000"/>
                <w:kern w:val="0"/>
                <w:szCs w:val="21"/>
              </w:rPr>
              <w:t xml:space="preserve">　</w:t>
            </w:r>
          </w:p>
        </w:tc>
      </w:tr>
      <w:tr w:rsidR="00DF066E" w:rsidRPr="00DF066E" w:rsidTr="00774AD9">
        <w:trPr>
          <w:gridAfter w:val="1"/>
          <w:wAfter w:w="1379" w:type="dxa"/>
          <w:trHeight w:val="93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66E" w:rsidRPr="00DF066E" w:rsidRDefault="00774AD9" w:rsidP="00DF066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6</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774AD9"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其他</w:t>
            </w:r>
          </w:p>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权力</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二级社会体育指导员技术等级审批</w:t>
            </w:r>
          </w:p>
        </w:tc>
        <w:tc>
          <w:tcPr>
            <w:tcW w:w="3359" w:type="dxa"/>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EC026F">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《中华人民共和国体育法》第十一条　国家推行全民健身计划，实施体育锻炼标准，进行体质监测。国家实行社会体育指导员技术等级制度。社会体育指导员对社会体育活动进行指导。《社会体育指导员管理办法》（国家体育总局令2011年第16号）第十四条  各级体育主管部门或经批准的协会按照社会体育指导员技术等级标准，批准授予相应等级社会体育指导员称号: (一)县级体育主管部门批准授予三级社会体育指导员技术等级称号; (二)地(市)级体育主管部门或经批准的省级协会批准授予二级社会体育指导员技术等级称号; (三)省级体育主管部门或经批准的全国性协会批准授予一级社会体育指导员技术等级称号; (四)国家体育总局批准授予国家级社会体育指导员技术等级称号。</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EC026F">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1.受理阶段责任：受理提交的材料，一次性告知补齐材料（不予受理应当告知理由）。2.审查阶段责任：按照二级社会体育指导员等级申报要求，对书面申请材料进行审查。3.决定阶段责任：作出批准授予或不批准授予决定，告知申请人。4.告知阶段责任：颁发二级社会体育指导员技术等级证书，信息公开。5.其他法律法规规章规定应履行的责任。</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《中华人民共和国体育法》、《社会体育指导员管理办法》（国家体育总局令2011年第16号）</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群众体育科</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法定本级行使</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0917-3871816</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宝鸡市体育局</w:t>
            </w:r>
          </w:p>
        </w:tc>
        <w:tc>
          <w:tcPr>
            <w:tcW w:w="885" w:type="dxa"/>
            <w:gridSpan w:val="2"/>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610300103300200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left"/>
              <w:rPr>
                <w:rFonts w:ascii="仿宋_GB2312" w:eastAsia="仿宋_GB2312" w:hAnsi="宋体" w:cs="宋体"/>
                <w:color w:val="000000"/>
                <w:kern w:val="0"/>
                <w:szCs w:val="21"/>
              </w:rPr>
            </w:pPr>
            <w:r w:rsidRPr="00DF066E">
              <w:rPr>
                <w:rFonts w:ascii="仿宋_GB2312" w:eastAsia="仿宋_GB2312" w:hAnsi="宋体" w:cs="宋体" w:hint="eastAsia"/>
                <w:color w:val="000000"/>
                <w:kern w:val="0"/>
                <w:szCs w:val="21"/>
              </w:rPr>
              <w:t xml:space="preserve">　</w:t>
            </w:r>
          </w:p>
        </w:tc>
      </w:tr>
      <w:tr w:rsidR="00DF066E" w:rsidRPr="00DF066E" w:rsidTr="00774AD9">
        <w:trPr>
          <w:gridAfter w:val="1"/>
          <w:wAfter w:w="1379" w:type="dxa"/>
          <w:trHeight w:val="42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66E" w:rsidRPr="00DF066E" w:rsidRDefault="00774AD9" w:rsidP="00DF066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7</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180839"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其他</w:t>
            </w:r>
          </w:p>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权力</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1571B5" w:rsidP="001571B5">
            <w:pPr>
              <w:widowControl/>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体育社会团体成立及变更</w:t>
            </w:r>
            <w:r w:rsidR="00DF066E" w:rsidRPr="00DF066E">
              <w:rPr>
                <w:rFonts w:ascii="仿宋_GB2312" w:eastAsia="仿宋_GB2312" w:hAnsi="仿宋" w:cs="宋体" w:hint="eastAsia"/>
                <w:color w:val="000000"/>
                <w:kern w:val="0"/>
                <w:szCs w:val="21"/>
              </w:rPr>
              <w:t>登记</w:t>
            </w:r>
            <w:r>
              <w:rPr>
                <w:rFonts w:ascii="仿宋_GB2312" w:eastAsia="仿宋_GB2312" w:hAnsi="仿宋" w:cs="宋体" w:hint="eastAsia"/>
                <w:color w:val="000000"/>
                <w:kern w:val="0"/>
                <w:szCs w:val="21"/>
              </w:rPr>
              <w:t>申请</w:t>
            </w:r>
          </w:p>
        </w:tc>
        <w:tc>
          <w:tcPr>
            <w:tcW w:w="3359" w:type="dxa"/>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EC026F">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《社会团体登记管理条例》第九条  申请成立社会团体，应当经其业务主管单位审查同意，由发起人向登记管理机关申请筹备。第十八条  社会团体的登记事项需要变更的，应当自业务主管单位审查同意之日起３０日内，向登记管理机关申请变更登记。</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EC026F">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1.受理阶段责任：受理提</w:t>
            </w:r>
            <w:bookmarkStart w:id="0" w:name="_GoBack"/>
            <w:bookmarkEnd w:id="0"/>
            <w:r w:rsidRPr="00DF066E">
              <w:rPr>
                <w:rFonts w:ascii="仿宋_GB2312" w:eastAsia="仿宋_GB2312" w:hAnsi="仿宋" w:cs="宋体" w:hint="eastAsia"/>
                <w:color w:val="000000"/>
                <w:kern w:val="0"/>
                <w:szCs w:val="21"/>
              </w:rPr>
              <w:t>交的材料，一次性告知补齐材料（不予受理应当告知理由）。2.审查阶段责任：按照体育社会团体成立及变更登记要求，对书面申请材料进行审查。3.决定阶段责任：做出批准或不予批准决定，告知申请人。4.告知阶段责任：告知申请人，并按照信息公开相关规定予以公开。5.其他法律法规规章规定应履行的责任。</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《社会团体登记管理条例》</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群众体育科</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法定本级行使</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0917-3871816</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宝鸡市体育局</w:t>
            </w:r>
          </w:p>
        </w:tc>
        <w:tc>
          <w:tcPr>
            <w:tcW w:w="885" w:type="dxa"/>
            <w:gridSpan w:val="2"/>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610300103300300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left"/>
              <w:rPr>
                <w:rFonts w:ascii="仿宋_GB2312" w:eastAsia="仿宋_GB2312" w:hAnsi="宋体" w:cs="宋体"/>
                <w:color w:val="000000"/>
                <w:kern w:val="0"/>
                <w:szCs w:val="21"/>
              </w:rPr>
            </w:pPr>
            <w:r w:rsidRPr="00DF066E">
              <w:rPr>
                <w:rFonts w:ascii="仿宋_GB2312" w:eastAsia="仿宋_GB2312" w:hAnsi="宋体" w:cs="宋体" w:hint="eastAsia"/>
                <w:color w:val="000000"/>
                <w:kern w:val="0"/>
                <w:szCs w:val="21"/>
              </w:rPr>
              <w:t xml:space="preserve">　</w:t>
            </w:r>
          </w:p>
        </w:tc>
      </w:tr>
      <w:tr w:rsidR="00DF066E" w:rsidRPr="00DF066E" w:rsidTr="00774AD9">
        <w:trPr>
          <w:gridAfter w:val="1"/>
          <w:wAfter w:w="1379" w:type="dxa"/>
          <w:trHeight w:val="438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F066E" w:rsidRPr="00DF066E" w:rsidRDefault="00774AD9" w:rsidP="00DF066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w:t>
            </w:r>
          </w:p>
        </w:tc>
        <w:tc>
          <w:tcPr>
            <w:tcW w:w="1001" w:type="dxa"/>
            <w:tcBorders>
              <w:top w:val="nil"/>
              <w:left w:val="nil"/>
              <w:bottom w:val="single" w:sz="4" w:space="0" w:color="auto"/>
              <w:right w:val="single" w:sz="4" w:space="0" w:color="auto"/>
            </w:tcBorders>
            <w:shd w:val="clear" w:color="auto" w:fill="auto"/>
            <w:vAlign w:val="center"/>
            <w:hideMark/>
          </w:tcPr>
          <w:p w:rsidR="00180839"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其他</w:t>
            </w:r>
          </w:p>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权力</w:t>
            </w:r>
          </w:p>
        </w:tc>
        <w:tc>
          <w:tcPr>
            <w:tcW w:w="993" w:type="dxa"/>
            <w:tcBorders>
              <w:top w:val="nil"/>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体育类民办非企业单位成立</w:t>
            </w:r>
            <w:r w:rsidR="001571B5">
              <w:rPr>
                <w:rFonts w:ascii="仿宋_GB2312" w:eastAsia="仿宋_GB2312" w:hAnsi="仿宋" w:cs="宋体" w:hint="eastAsia"/>
                <w:color w:val="000000"/>
                <w:kern w:val="0"/>
                <w:szCs w:val="21"/>
              </w:rPr>
              <w:t>及变更</w:t>
            </w:r>
            <w:r w:rsidRPr="00DF066E">
              <w:rPr>
                <w:rFonts w:ascii="仿宋_GB2312" w:eastAsia="仿宋_GB2312" w:hAnsi="仿宋" w:cs="宋体" w:hint="eastAsia"/>
                <w:color w:val="000000"/>
                <w:kern w:val="0"/>
                <w:szCs w:val="21"/>
              </w:rPr>
              <w:t>登记审查</w:t>
            </w:r>
          </w:p>
        </w:tc>
        <w:tc>
          <w:tcPr>
            <w:tcW w:w="3359" w:type="dxa"/>
            <w:tcBorders>
              <w:top w:val="nil"/>
              <w:left w:val="nil"/>
              <w:bottom w:val="single" w:sz="4" w:space="0" w:color="auto"/>
              <w:right w:val="single" w:sz="4" w:space="0" w:color="auto"/>
            </w:tcBorders>
            <w:shd w:val="clear" w:color="auto" w:fill="auto"/>
            <w:vAlign w:val="center"/>
            <w:hideMark/>
          </w:tcPr>
          <w:p w:rsidR="00DF066E" w:rsidRPr="00DF066E" w:rsidRDefault="00DF066E" w:rsidP="00EC026F">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《体育类民办非企业单位登记审查与管理暂行办法》第三条　体育行政部门是体育类民办非企业单位的业务主管单位。县级以上地方各级人民政府体育行政部门负责本辖区内体育类民办非企业单位的设立审查工作。第九条</w:t>
            </w:r>
            <w:r w:rsidRPr="00DF066E">
              <w:rPr>
                <w:rFonts w:ascii="仿宋_GB2312" w:eastAsia="仿宋_GB2312" w:hAnsi="Calibri" w:cs="Calibri" w:hint="eastAsia"/>
                <w:color w:val="000000"/>
                <w:kern w:val="0"/>
                <w:szCs w:val="21"/>
              </w:rPr>
              <w:t> </w:t>
            </w:r>
            <w:r w:rsidRPr="00DF066E">
              <w:rPr>
                <w:rFonts w:ascii="仿宋_GB2312" w:eastAsia="仿宋_GB2312" w:hAnsi="仿宋" w:cs="宋体" w:hint="eastAsia"/>
                <w:color w:val="000000"/>
                <w:kern w:val="0"/>
                <w:szCs w:val="21"/>
              </w:rPr>
              <w:t xml:space="preserve"> 体育类民办非企业单位变更登记事项，应向体育行政部门提出书面申请，载明变更事项、原因和方案等。</w:t>
            </w:r>
          </w:p>
        </w:tc>
        <w:tc>
          <w:tcPr>
            <w:tcW w:w="3827" w:type="dxa"/>
            <w:tcBorders>
              <w:top w:val="nil"/>
              <w:left w:val="nil"/>
              <w:bottom w:val="single" w:sz="4" w:space="0" w:color="auto"/>
              <w:right w:val="single" w:sz="4" w:space="0" w:color="auto"/>
            </w:tcBorders>
            <w:shd w:val="clear" w:color="auto" w:fill="auto"/>
            <w:vAlign w:val="center"/>
            <w:hideMark/>
          </w:tcPr>
          <w:p w:rsidR="00DF066E" w:rsidRPr="00DF066E" w:rsidRDefault="00DF066E" w:rsidP="00EC026F">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1.受理阶段责任：受理提交的材料，一次性告知补齐材料（不予受理应当告知理由）。2.审查阶段责任：按照体育类民办非企业单位成立及变更登记要求，对书面申请材料进行审查。3.决定阶段责任：做出批准或不予批准决定，告知申请人。4.告知阶段责任：告知申请人，并按照信息公开相关规定予以公开。5.其他法律法规规章规定应履行的责任。</w:t>
            </w:r>
          </w:p>
        </w:tc>
        <w:tc>
          <w:tcPr>
            <w:tcW w:w="851" w:type="dxa"/>
            <w:gridSpan w:val="2"/>
            <w:tcBorders>
              <w:top w:val="nil"/>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《体育类民办非企业单位登记审查与管理暂行办法》</w:t>
            </w:r>
          </w:p>
        </w:tc>
        <w:tc>
          <w:tcPr>
            <w:tcW w:w="850" w:type="dxa"/>
            <w:gridSpan w:val="2"/>
            <w:tcBorders>
              <w:top w:val="nil"/>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竞技体育科</w:t>
            </w:r>
          </w:p>
        </w:tc>
        <w:tc>
          <w:tcPr>
            <w:tcW w:w="709" w:type="dxa"/>
            <w:tcBorders>
              <w:top w:val="nil"/>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法定本级行使</w:t>
            </w:r>
          </w:p>
        </w:tc>
        <w:tc>
          <w:tcPr>
            <w:tcW w:w="851" w:type="dxa"/>
            <w:gridSpan w:val="2"/>
            <w:tcBorders>
              <w:top w:val="nil"/>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0917-3871816</w:t>
            </w:r>
          </w:p>
        </w:tc>
        <w:tc>
          <w:tcPr>
            <w:tcW w:w="850" w:type="dxa"/>
            <w:gridSpan w:val="2"/>
            <w:tcBorders>
              <w:top w:val="nil"/>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left"/>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宝鸡市体育局</w:t>
            </w:r>
          </w:p>
        </w:tc>
        <w:tc>
          <w:tcPr>
            <w:tcW w:w="885" w:type="dxa"/>
            <w:gridSpan w:val="2"/>
            <w:tcBorders>
              <w:top w:val="nil"/>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center"/>
              <w:rPr>
                <w:rFonts w:ascii="仿宋_GB2312" w:eastAsia="仿宋_GB2312" w:hAnsi="仿宋" w:cs="宋体"/>
                <w:color w:val="000000"/>
                <w:kern w:val="0"/>
                <w:szCs w:val="21"/>
              </w:rPr>
            </w:pPr>
            <w:r w:rsidRPr="00DF066E">
              <w:rPr>
                <w:rFonts w:ascii="仿宋_GB2312" w:eastAsia="仿宋_GB2312" w:hAnsi="仿宋" w:cs="宋体" w:hint="eastAsia"/>
                <w:color w:val="000000"/>
                <w:kern w:val="0"/>
                <w:szCs w:val="21"/>
              </w:rPr>
              <w:t>610300103300400</w:t>
            </w:r>
          </w:p>
        </w:tc>
        <w:tc>
          <w:tcPr>
            <w:tcW w:w="567" w:type="dxa"/>
            <w:tcBorders>
              <w:top w:val="nil"/>
              <w:left w:val="nil"/>
              <w:bottom w:val="single" w:sz="4" w:space="0" w:color="auto"/>
              <w:right w:val="single" w:sz="4" w:space="0" w:color="auto"/>
            </w:tcBorders>
            <w:shd w:val="clear" w:color="auto" w:fill="auto"/>
            <w:vAlign w:val="center"/>
            <w:hideMark/>
          </w:tcPr>
          <w:p w:rsidR="00DF066E" w:rsidRPr="00DF066E" w:rsidRDefault="00DF066E" w:rsidP="00DF066E">
            <w:pPr>
              <w:widowControl/>
              <w:jc w:val="left"/>
              <w:rPr>
                <w:rFonts w:ascii="仿宋_GB2312" w:eastAsia="仿宋_GB2312" w:hAnsi="宋体" w:cs="宋体"/>
                <w:color w:val="000000"/>
                <w:kern w:val="0"/>
                <w:szCs w:val="21"/>
              </w:rPr>
            </w:pPr>
            <w:r w:rsidRPr="00DF066E">
              <w:rPr>
                <w:rFonts w:ascii="仿宋_GB2312" w:eastAsia="仿宋_GB2312" w:hAnsi="宋体" w:cs="宋体" w:hint="eastAsia"/>
                <w:color w:val="000000"/>
                <w:kern w:val="0"/>
                <w:szCs w:val="21"/>
              </w:rPr>
              <w:t xml:space="preserve">　</w:t>
            </w:r>
          </w:p>
        </w:tc>
      </w:tr>
    </w:tbl>
    <w:p w:rsidR="00ED0557" w:rsidRPr="00DF066E" w:rsidRDefault="00ED0557" w:rsidP="00DF066E">
      <w:pPr>
        <w:tabs>
          <w:tab w:val="left" w:pos="142"/>
        </w:tabs>
        <w:rPr>
          <w:rFonts w:ascii="仿宋_GB2312" w:eastAsia="仿宋_GB2312"/>
          <w:szCs w:val="21"/>
        </w:rPr>
      </w:pPr>
    </w:p>
    <w:sectPr w:rsidR="00ED0557" w:rsidRPr="00DF066E" w:rsidSect="00DF066E">
      <w:pgSz w:w="16838" w:h="11906" w:orient="landscape"/>
      <w:pgMar w:top="1134" w:right="1440" w:bottom="993" w:left="70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DF8" w:rsidRDefault="00523DF8" w:rsidP="00EC026F">
      <w:r>
        <w:separator/>
      </w:r>
    </w:p>
  </w:endnote>
  <w:endnote w:type="continuationSeparator" w:id="1">
    <w:p w:rsidR="00523DF8" w:rsidRDefault="00523DF8" w:rsidP="00EC02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DF8" w:rsidRDefault="00523DF8" w:rsidP="00EC026F">
      <w:r>
        <w:separator/>
      </w:r>
    </w:p>
  </w:footnote>
  <w:footnote w:type="continuationSeparator" w:id="1">
    <w:p w:rsidR="00523DF8" w:rsidRDefault="00523DF8" w:rsidP="00EC02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82CD1"/>
    <w:multiLevelType w:val="hybridMultilevel"/>
    <w:tmpl w:val="5DFADE22"/>
    <w:lvl w:ilvl="0" w:tplc="395C0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066E"/>
    <w:rsid w:val="001571B5"/>
    <w:rsid w:val="00180839"/>
    <w:rsid w:val="002F4B5A"/>
    <w:rsid w:val="003151F5"/>
    <w:rsid w:val="00523DF8"/>
    <w:rsid w:val="005A36ED"/>
    <w:rsid w:val="006B6ACC"/>
    <w:rsid w:val="006D4EAF"/>
    <w:rsid w:val="00774AD9"/>
    <w:rsid w:val="007B324D"/>
    <w:rsid w:val="008C6284"/>
    <w:rsid w:val="008D092F"/>
    <w:rsid w:val="008D4212"/>
    <w:rsid w:val="00CA5BEE"/>
    <w:rsid w:val="00DF066E"/>
    <w:rsid w:val="00E8694E"/>
    <w:rsid w:val="00EC026F"/>
    <w:rsid w:val="00ED0557"/>
    <w:rsid w:val="00FB05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6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066E"/>
    <w:rPr>
      <w:color w:val="0563C1"/>
      <w:u w:val="single"/>
    </w:rPr>
  </w:style>
  <w:style w:type="paragraph" w:styleId="a4">
    <w:name w:val="header"/>
    <w:basedOn w:val="a"/>
    <w:link w:val="Char"/>
    <w:uiPriority w:val="99"/>
    <w:semiHidden/>
    <w:unhideWhenUsed/>
    <w:rsid w:val="00EC02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C026F"/>
    <w:rPr>
      <w:sz w:val="18"/>
      <w:szCs w:val="18"/>
    </w:rPr>
  </w:style>
  <w:style w:type="paragraph" w:styleId="a5">
    <w:name w:val="footer"/>
    <w:basedOn w:val="a"/>
    <w:link w:val="Char0"/>
    <w:uiPriority w:val="99"/>
    <w:semiHidden/>
    <w:unhideWhenUsed/>
    <w:rsid w:val="00EC026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C026F"/>
    <w:rPr>
      <w:sz w:val="18"/>
      <w:szCs w:val="18"/>
    </w:rPr>
  </w:style>
  <w:style w:type="paragraph" w:styleId="a6">
    <w:name w:val="List Paragraph"/>
    <w:basedOn w:val="a"/>
    <w:uiPriority w:val="34"/>
    <w:qFormat/>
    <w:rsid w:val="00E8694E"/>
    <w:pPr>
      <w:ind w:firstLineChars="200" w:firstLine="420"/>
    </w:pPr>
  </w:style>
</w:styles>
</file>

<file path=word/webSettings.xml><?xml version="1.0" encoding="utf-8"?>
<w:webSettings xmlns:r="http://schemas.openxmlformats.org/officeDocument/2006/relationships" xmlns:w="http://schemas.openxmlformats.org/wordprocessingml/2006/main">
  <w:divs>
    <w:div w:id="13356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832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741</Words>
  <Characters>4225</Characters>
  <Application>Microsoft Office Word</Application>
  <DocSecurity>0</DocSecurity>
  <Lines>35</Lines>
  <Paragraphs>9</Paragraphs>
  <ScaleCrop>false</ScaleCrop>
  <Company>DoubleOX</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michille</dc:creator>
  <cp:lastModifiedBy>PC</cp:lastModifiedBy>
  <cp:revision>2</cp:revision>
  <dcterms:created xsi:type="dcterms:W3CDTF">2024-09-26T06:21:00Z</dcterms:created>
  <dcterms:modified xsi:type="dcterms:W3CDTF">2024-09-26T06:21:00Z</dcterms:modified>
</cp:coreProperties>
</file>